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F0" w:rsidRPr="0093678C" w:rsidRDefault="00FD604A">
      <w:pPr>
        <w:rPr>
          <w:rFonts w:cstheme="minorHAnsi"/>
          <w:b/>
          <w:sz w:val="24"/>
          <w:szCs w:val="24"/>
        </w:rPr>
      </w:pPr>
      <w:bookmarkStart w:id="0" w:name="_GoBack"/>
      <w:bookmarkEnd w:id="0"/>
      <w:r w:rsidRPr="0093678C">
        <w:rPr>
          <w:rFonts w:cstheme="minorHAnsi"/>
          <w:b/>
          <w:sz w:val="24"/>
          <w:szCs w:val="24"/>
        </w:rPr>
        <w:t>Commercial UAS Program – Risk Management and Mitigation</w:t>
      </w:r>
    </w:p>
    <w:p w:rsidR="008F27F7" w:rsidRPr="0093678C" w:rsidRDefault="00FD604A">
      <w:pPr>
        <w:rPr>
          <w:rFonts w:cstheme="minorHAnsi"/>
          <w:sz w:val="24"/>
          <w:szCs w:val="24"/>
        </w:rPr>
      </w:pPr>
      <w:r w:rsidRPr="0093678C">
        <w:rPr>
          <w:rFonts w:cstheme="minorHAnsi"/>
          <w:sz w:val="24"/>
          <w:szCs w:val="24"/>
        </w:rPr>
        <w:t>Businesses large and small</w:t>
      </w:r>
      <w:r w:rsidR="008F27F7" w:rsidRPr="0093678C">
        <w:rPr>
          <w:rFonts w:cstheme="minorHAnsi"/>
          <w:sz w:val="24"/>
          <w:szCs w:val="24"/>
        </w:rPr>
        <w:t xml:space="preserve"> see the benefit to UAS/UAV technology. But is the business thinking about associated risk in establishing and maintaining a Commercial UAS Program as a strategic business tool?</w:t>
      </w:r>
      <w:r w:rsidRPr="0093678C">
        <w:rPr>
          <w:rFonts w:cstheme="minorHAnsi"/>
          <w:sz w:val="24"/>
          <w:szCs w:val="24"/>
        </w:rPr>
        <w:t xml:space="preserve"> </w:t>
      </w:r>
    </w:p>
    <w:p w:rsidR="008F27F7" w:rsidRPr="0093678C" w:rsidRDefault="008F27F7">
      <w:pPr>
        <w:rPr>
          <w:rFonts w:cstheme="minorHAnsi"/>
          <w:sz w:val="24"/>
          <w:szCs w:val="24"/>
        </w:rPr>
      </w:pPr>
      <w:r w:rsidRPr="0093678C">
        <w:rPr>
          <w:rFonts w:cstheme="minorHAnsi"/>
          <w:sz w:val="24"/>
          <w:szCs w:val="24"/>
        </w:rPr>
        <w:t>As growth in this area continues, manag</w:t>
      </w:r>
      <w:r w:rsidR="0093678C" w:rsidRPr="0093678C">
        <w:rPr>
          <w:rFonts w:cstheme="minorHAnsi"/>
          <w:sz w:val="24"/>
          <w:szCs w:val="24"/>
        </w:rPr>
        <w:t>ing</w:t>
      </w:r>
      <w:r w:rsidRPr="0093678C">
        <w:rPr>
          <w:rFonts w:cstheme="minorHAnsi"/>
          <w:sz w:val="24"/>
          <w:szCs w:val="24"/>
        </w:rPr>
        <w:t xml:space="preserve"> and mitigat</w:t>
      </w:r>
      <w:r w:rsidR="0093678C" w:rsidRPr="0093678C">
        <w:rPr>
          <w:rFonts w:cstheme="minorHAnsi"/>
          <w:sz w:val="24"/>
          <w:szCs w:val="24"/>
        </w:rPr>
        <w:t>ing</w:t>
      </w:r>
      <w:r w:rsidRPr="0093678C">
        <w:rPr>
          <w:rFonts w:cstheme="minorHAnsi"/>
          <w:sz w:val="24"/>
          <w:szCs w:val="24"/>
        </w:rPr>
        <w:t xml:space="preserve"> risk to an organ</w:t>
      </w:r>
      <w:r w:rsidR="0093678C" w:rsidRPr="0093678C">
        <w:rPr>
          <w:rFonts w:cstheme="minorHAnsi"/>
          <w:sz w:val="24"/>
          <w:szCs w:val="24"/>
        </w:rPr>
        <w:t>ization becomes essential, and organizations</w:t>
      </w:r>
      <w:r w:rsidRPr="0093678C">
        <w:rPr>
          <w:rFonts w:cstheme="minorHAnsi"/>
          <w:sz w:val="24"/>
          <w:szCs w:val="24"/>
        </w:rPr>
        <w:t xml:space="preserve"> must be ahead of the potential problems.  </w:t>
      </w:r>
      <w:r w:rsidR="0093678C" w:rsidRPr="0093678C">
        <w:rPr>
          <w:rFonts w:cstheme="minorHAnsi"/>
          <w:sz w:val="24"/>
          <w:szCs w:val="24"/>
        </w:rPr>
        <w:t xml:space="preserve">Noncompliance is costly. </w:t>
      </w:r>
    </w:p>
    <w:p w:rsidR="0093678C" w:rsidRPr="0093678C" w:rsidRDefault="008F27F7" w:rsidP="0093678C">
      <w:pPr>
        <w:rPr>
          <w:rFonts w:cstheme="minorHAnsi"/>
          <w:sz w:val="24"/>
          <w:szCs w:val="24"/>
        </w:rPr>
      </w:pPr>
      <w:r w:rsidRPr="0093678C">
        <w:rPr>
          <w:rFonts w:cstheme="minorHAnsi"/>
          <w:color w:val="222222"/>
          <w:sz w:val="24"/>
          <w:szCs w:val="24"/>
          <w:shd w:val="clear" w:color="auto" w:fill="FFFFFF"/>
        </w:rPr>
        <w:t xml:space="preserve">In developing and managing a Commercial UAS Program, questions regarding the type of </w:t>
      </w:r>
      <w:r w:rsidRPr="0093678C">
        <w:rPr>
          <w:rFonts w:eastAsia="Times New Roman" w:cstheme="minorHAnsi"/>
          <w:color w:val="222222"/>
          <w:sz w:val="24"/>
          <w:szCs w:val="24"/>
        </w:rPr>
        <w:t xml:space="preserve">data collected and data storage need to be discussed along with privacy questions about the specific data collected. </w:t>
      </w:r>
      <w:r w:rsidR="0053105A" w:rsidRPr="0093678C">
        <w:rPr>
          <w:rFonts w:cstheme="minorHAnsi"/>
          <w:sz w:val="24"/>
          <w:szCs w:val="24"/>
        </w:rPr>
        <w:t xml:space="preserve">To manage and mitigate the risk of a UAS/UAV cyber attach and associated risk management, a 40+ page White Paper and other guidance documents for a Commercial UAS Program has been developed for 2020. </w:t>
      </w:r>
      <w:r w:rsidRPr="0093678C">
        <w:rPr>
          <w:rFonts w:eastAsia="Times New Roman" w:cstheme="minorHAnsi"/>
          <w:color w:val="222222"/>
          <w:sz w:val="24"/>
          <w:szCs w:val="24"/>
        </w:rPr>
        <w:t xml:space="preserve">An entire section in the whitepaper is dedicated to “Access without Authorization” and </w:t>
      </w:r>
      <w:r w:rsidRPr="0093678C">
        <w:rPr>
          <w:rFonts w:cstheme="minorHAnsi"/>
          <w:sz w:val="24"/>
          <w:szCs w:val="24"/>
        </w:rPr>
        <w:t xml:space="preserve">Global Navigation Satellite System (GNSS) spoofing. </w:t>
      </w:r>
    </w:p>
    <w:p w:rsidR="0093678C" w:rsidRPr="0093678C" w:rsidRDefault="0093678C" w:rsidP="0093678C">
      <w:pPr>
        <w:pStyle w:val="BodyText"/>
        <w:ind w:right="215"/>
        <w:rPr>
          <w:rFonts w:asciiTheme="minorHAnsi" w:eastAsiaTheme="minorHAnsi" w:hAnsiTheme="minorHAnsi" w:cstheme="minorHAnsi"/>
        </w:rPr>
      </w:pPr>
      <w:r w:rsidRPr="0093678C">
        <w:rPr>
          <w:rFonts w:asciiTheme="minorHAnsi" w:eastAsiaTheme="minorHAnsi" w:hAnsiTheme="minorHAnsi" w:cstheme="minorHAnsi"/>
        </w:rPr>
        <w:t>The information included in an organization’s UAS Operations Manual should enable the organization’s management and UAS flight team members to safely, legally, effectively and efficiently operate and manage, day-to-day UAS activities associated with accomplishing the organization’s strategic use of a UAV platform.</w:t>
      </w:r>
    </w:p>
    <w:p w:rsidR="0093678C" w:rsidRPr="0093678C" w:rsidRDefault="0093678C" w:rsidP="0093678C">
      <w:pPr>
        <w:pStyle w:val="BodyText"/>
        <w:ind w:right="215"/>
        <w:rPr>
          <w:rFonts w:asciiTheme="minorHAnsi" w:eastAsiaTheme="minorHAnsi" w:hAnsiTheme="minorHAnsi" w:cstheme="minorHAnsi"/>
        </w:rPr>
      </w:pPr>
    </w:p>
    <w:p w:rsidR="0093678C" w:rsidRPr="0093678C" w:rsidRDefault="0093678C" w:rsidP="0093678C">
      <w:pPr>
        <w:rPr>
          <w:rFonts w:cstheme="minorHAnsi"/>
          <w:sz w:val="24"/>
          <w:szCs w:val="24"/>
        </w:rPr>
      </w:pPr>
      <w:r w:rsidRPr="0093678C">
        <w:rPr>
          <w:rFonts w:cstheme="minorHAnsi"/>
          <w:sz w:val="24"/>
          <w:szCs w:val="24"/>
        </w:rPr>
        <w:t>Have you started or are considering a commercial Unmanned Aircraft Systems (UAS) program? Have you considered how to manage your UAS program? This template provides guidance and is an example of areas that should be considered in operating an UAS platform. The template, which is not intended to be all-inclusive, offers you a basis to customize an internal Operations Manual (OM). Additional resources, such as but, not limited to, Federal Aviation Administration regulations, pre-flight safety checklists, aircraft manufacturers' approved flight manual, other organization policies, procedures, guidelines, forms, documents, etc. should be used to customize and develop an organization’s own, internal UAS operations manual.</w:t>
      </w:r>
    </w:p>
    <w:p w:rsidR="00BB07F0" w:rsidRPr="0093678C" w:rsidRDefault="008F27F7" w:rsidP="0093678C">
      <w:pPr>
        <w:rPr>
          <w:rFonts w:cstheme="minorHAnsi"/>
          <w:sz w:val="24"/>
          <w:szCs w:val="24"/>
        </w:rPr>
      </w:pPr>
      <w:r w:rsidRPr="0093678C">
        <w:rPr>
          <w:rFonts w:eastAsia="Times New Roman" w:cstheme="minorHAnsi"/>
          <w:color w:val="222222"/>
          <w:sz w:val="24"/>
          <w:szCs w:val="24"/>
        </w:rPr>
        <w:t xml:space="preserve">The author of the white paper and additional guidance is Dr. Al </w:t>
      </w:r>
      <w:r w:rsidRPr="0093678C">
        <w:rPr>
          <w:rFonts w:cstheme="minorHAnsi"/>
          <w:sz w:val="24"/>
          <w:szCs w:val="24"/>
        </w:rPr>
        <w:t xml:space="preserve">Marcella, President, Business Automation Consultants, </w:t>
      </w:r>
      <w:proofErr w:type="gramStart"/>
      <w:r w:rsidRPr="0093678C">
        <w:rPr>
          <w:rFonts w:cstheme="minorHAnsi"/>
          <w:sz w:val="24"/>
          <w:szCs w:val="24"/>
        </w:rPr>
        <w:t>(</w:t>
      </w:r>
      <w:proofErr w:type="gramEnd"/>
      <w:r w:rsidRPr="0093678C">
        <w:rPr>
          <w:rFonts w:cstheme="minorHAnsi"/>
          <w:sz w:val="24"/>
          <w:szCs w:val="24"/>
        </w:rPr>
        <w:t xml:space="preserve">BAC) LLC. </w:t>
      </w:r>
      <w:r w:rsidRPr="0093678C">
        <w:rPr>
          <w:rFonts w:eastAsia="Times New Roman" w:cstheme="minorHAnsi"/>
          <w:color w:val="222222"/>
          <w:sz w:val="24"/>
          <w:szCs w:val="24"/>
        </w:rPr>
        <w:t xml:space="preserve">The </w:t>
      </w:r>
      <w:r w:rsidRPr="0093678C">
        <w:rPr>
          <w:rFonts w:cstheme="minorHAnsi"/>
          <w:sz w:val="24"/>
          <w:szCs w:val="24"/>
        </w:rPr>
        <w:t xml:space="preserve">whitepaper, “Unmanned Aircraft Systems (UAS): Assessing Business, Operational and Security Risks,” addresses the changing market for UAS technologies, operational security and risk issues along with compliance and audit procedures, which organizations must consider when operating a UAS program, in a commercial environment.  To assist organizations in developing a more efficient and better controlled UAS program, Dr. Marcella has developed a UAS Operations Manual (OM) Template. This document provides an example of the content areas and associated details that an organization should develop and have in place, when maintaining a UAS program.  Dr. Marcella’s 270+ question UAS audit checklist will assist organizations in assessing security, risk and compliance issues related to operation of their UAS program. </w:t>
      </w:r>
    </w:p>
    <w:p w:rsidR="00BB07F0" w:rsidRPr="0093678C" w:rsidRDefault="00BB07F0" w:rsidP="008F27F7">
      <w:pPr>
        <w:widowControl w:val="0"/>
        <w:autoSpaceDE w:val="0"/>
        <w:autoSpaceDN w:val="0"/>
        <w:ind w:right="215"/>
        <w:rPr>
          <w:rFonts w:cstheme="minorHAnsi"/>
          <w:sz w:val="24"/>
          <w:szCs w:val="24"/>
        </w:rPr>
      </w:pPr>
    </w:p>
    <w:p w:rsidR="0093678C" w:rsidRPr="0093678C" w:rsidRDefault="008F27F7" w:rsidP="0093678C">
      <w:pPr>
        <w:rPr>
          <w:rFonts w:cstheme="minorHAnsi"/>
          <w:sz w:val="24"/>
          <w:szCs w:val="24"/>
        </w:rPr>
      </w:pPr>
      <w:r w:rsidRPr="0093678C">
        <w:rPr>
          <w:rFonts w:cstheme="minorHAnsi"/>
          <w:sz w:val="24"/>
          <w:szCs w:val="24"/>
        </w:rPr>
        <w:lastRenderedPageBreak/>
        <w:t xml:space="preserve">A free download of an extensive list of </w:t>
      </w:r>
      <w:r w:rsidR="00BB07F0" w:rsidRPr="0093678C">
        <w:rPr>
          <w:rFonts w:cstheme="minorHAnsi"/>
          <w:sz w:val="24"/>
          <w:szCs w:val="24"/>
        </w:rPr>
        <w:t xml:space="preserve">UAS </w:t>
      </w:r>
      <w:r w:rsidRPr="0093678C">
        <w:rPr>
          <w:rFonts w:cstheme="minorHAnsi"/>
          <w:sz w:val="24"/>
          <w:szCs w:val="24"/>
        </w:rPr>
        <w:t xml:space="preserve">Terms &amp; Definitions is also available. </w:t>
      </w:r>
      <w:r w:rsidR="0093678C" w:rsidRPr="0093678C">
        <w:rPr>
          <w:rFonts w:cstheme="minorHAnsi"/>
          <w:sz w:val="24"/>
          <w:szCs w:val="24"/>
        </w:rPr>
        <w:t>Excerpts of a</w:t>
      </w:r>
      <w:r w:rsidR="00BB07F0" w:rsidRPr="0093678C">
        <w:rPr>
          <w:rFonts w:cstheme="minorHAnsi"/>
          <w:sz w:val="24"/>
          <w:szCs w:val="24"/>
        </w:rPr>
        <w:t xml:space="preserve">ll documents are </w:t>
      </w:r>
      <w:r w:rsidR="0093678C" w:rsidRPr="0093678C">
        <w:rPr>
          <w:rFonts w:cstheme="minorHAnsi"/>
          <w:sz w:val="24"/>
          <w:szCs w:val="24"/>
        </w:rPr>
        <w:t xml:space="preserve">also </w:t>
      </w:r>
      <w:r w:rsidR="00BB07F0" w:rsidRPr="0093678C">
        <w:rPr>
          <w:rFonts w:cstheme="minorHAnsi"/>
          <w:sz w:val="24"/>
          <w:szCs w:val="24"/>
        </w:rPr>
        <w:t>available</w:t>
      </w:r>
      <w:r w:rsidR="0093678C" w:rsidRPr="0093678C">
        <w:rPr>
          <w:rFonts w:cstheme="minorHAnsi"/>
          <w:sz w:val="24"/>
          <w:szCs w:val="24"/>
        </w:rPr>
        <w:t xml:space="preserve">. Titles may be purchased individually or as a bundle, and in quantities for corporate, school, or industry meeting use. Licensing and private label options are also available by contacting </w:t>
      </w:r>
      <w:hyperlink r:id="rId4" w:history="1">
        <w:r w:rsidR="0093678C" w:rsidRPr="0093678C">
          <w:rPr>
            <w:rStyle w:val="Hyperlink"/>
            <w:rFonts w:cstheme="minorHAnsi"/>
            <w:color w:val="0070C0"/>
            <w:sz w:val="24"/>
            <w:szCs w:val="24"/>
          </w:rPr>
          <w:t>Madeline@MadelineParisi.com</w:t>
        </w:r>
      </w:hyperlink>
      <w:r w:rsidR="0093678C" w:rsidRPr="0093678C">
        <w:rPr>
          <w:rFonts w:cstheme="minorHAnsi"/>
          <w:sz w:val="24"/>
          <w:szCs w:val="24"/>
        </w:rPr>
        <w:t>.</w:t>
      </w:r>
    </w:p>
    <w:p w:rsidR="00BB07F0" w:rsidRPr="0093678C" w:rsidRDefault="00BB07F0" w:rsidP="008F27F7">
      <w:pPr>
        <w:widowControl w:val="0"/>
        <w:autoSpaceDE w:val="0"/>
        <w:autoSpaceDN w:val="0"/>
        <w:ind w:right="215"/>
        <w:rPr>
          <w:rFonts w:cstheme="minorHAnsi"/>
          <w:sz w:val="24"/>
          <w:szCs w:val="24"/>
        </w:rPr>
      </w:pPr>
      <w:r w:rsidRPr="0053105A">
        <w:rPr>
          <w:rStyle w:val="Hyperlink"/>
          <w:rFonts w:cstheme="minorHAnsi"/>
          <w:sz w:val="24"/>
          <w:szCs w:val="24"/>
        </w:rPr>
        <w:t>http</w:t>
      </w:r>
      <w:r w:rsidR="0053105A">
        <w:rPr>
          <w:rStyle w:val="Hyperlink"/>
          <w:rFonts w:cstheme="minorHAnsi"/>
          <w:sz w:val="24"/>
          <w:szCs w:val="24"/>
        </w:rPr>
        <w:t>s://www.madelineparisi.com/blog</w:t>
      </w:r>
    </w:p>
    <w:p w:rsidR="00BB07F0" w:rsidRPr="0093678C" w:rsidRDefault="00BB07F0" w:rsidP="008F27F7">
      <w:pPr>
        <w:widowControl w:val="0"/>
        <w:autoSpaceDE w:val="0"/>
        <w:autoSpaceDN w:val="0"/>
        <w:ind w:right="215"/>
        <w:rPr>
          <w:rFonts w:cstheme="minorHAnsi"/>
          <w:sz w:val="24"/>
          <w:szCs w:val="24"/>
        </w:rPr>
      </w:pPr>
    </w:p>
    <w:p w:rsidR="00FD604A" w:rsidRPr="0093678C" w:rsidRDefault="00FD604A">
      <w:pPr>
        <w:rPr>
          <w:rFonts w:cstheme="minorHAnsi"/>
        </w:rPr>
      </w:pPr>
    </w:p>
    <w:sectPr w:rsidR="00FD604A" w:rsidRPr="0093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F7"/>
    <w:rsid w:val="000234E4"/>
    <w:rsid w:val="0053105A"/>
    <w:rsid w:val="006A2A46"/>
    <w:rsid w:val="008F27F7"/>
    <w:rsid w:val="0093678C"/>
    <w:rsid w:val="00BB07F0"/>
    <w:rsid w:val="00E84952"/>
    <w:rsid w:val="00EA5AF3"/>
    <w:rsid w:val="00FD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D854-00C4-469C-9C3B-80DA692A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7F0"/>
    <w:rPr>
      <w:color w:val="0000FF"/>
      <w:u w:val="single"/>
    </w:rPr>
  </w:style>
  <w:style w:type="paragraph" w:styleId="BodyText">
    <w:name w:val="Body Text"/>
    <w:basedOn w:val="Normal"/>
    <w:link w:val="BodyTextChar"/>
    <w:uiPriority w:val="1"/>
    <w:qFormat/>
    <w:rsid w:val="009367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67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eline@MadelinePari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Parisi</dc:creator>
  <cp:keywords/>
  <dc:description/>
  <cp:lastModifiedBy>Madeline Parisi</cp:lastModifiedBy>
  <cp:revision>5</cp:revision>
  <dcterms:created xsi:type="dcterms:W3CDTF">2020-04-29T20:21:00Z</dcterms:created>
  <dcterms:modified xsi:type="dcterms:W3CDTF">2020-06-06T18:40:00Z</dcterms:modified>
</cp:coreProperties>
</file>